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Protokoll zum Workshop 7                       Freitag, 21.10.2016 (16:00 – 17</w:t>
      </w:r>
      <w:bookmarkStart w:id="0" w:name="_GoBack"/>
      <w:bookmarkEnd w:id="0"/>
      <w:r>
        <w:rPr>
          <w:b/>
          <w:sz w:val="28"/>
          <w:szCs w:val="28"/>
          <w:u w:val="single"/>
        </w:rPr>
        <w:t>:30 Uhr)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Förderschwerpunkt Hören- Schüler mit Hörschädigungen im inklusiven Unterricht- Auswirkungen und Wege der Kompensation, organisatorische Rahmenbedingungen und didaktische Maßnahmen“- Frau Annette Leonhardt, Universität München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Hauptinhalte des Workshops: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Gesamtprojekt- Modulvorstellung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Eltern- Erfahrungen und -Wünsche von hörgeschädigten Kindern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Lernen bei Beeinträchtigung des Hörens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Faktoren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Unterschied Gehörloser/ Schwerhöriger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Auswirkungen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periphere Hörschäden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zentrale Hörstörungen</w:t>
      </w:r>
    </w:p>
    <w:p>
      <w:pPr>
        <w:pStyle w:val="ListParagraph"/>
        <w:numPr>
          <w:ilvl w:val="1"/>
          <w:numId w:val="1"/>
        </w:numPr>
        <w:rPr/>
      </w:pPr>
      <w:r>
        <w:rPr>
          <w:sz w:val="28"/>
          <w:szCs w:val="28"/>
        </w:rPr>
        <w:t>Auswirkungen im Schulalltag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Projekte und Forschungen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Beobachtungen von Kindern mit Hörschädigungen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Hilfsbereitschaft der Lehrer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Empfehlungen für den Unterricht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Lärmpegel gering hallten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Unterrichtsform wechseln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Übertragungsanlage nutzen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Viel Anschauung (optische Unterstützung)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wenig/selten den Standort wechseln</w:t>
      </w:r>
    </w:p>
    <w:p>
      <w:pPr>
        <w:pStyle w:val="ListParagraph"/>
        <w:numPr>
          <w:ilvl w:val="1"/>
          <w:numId w:val="1"/>
        </w:numPr>
        <w:jc w:val="left"/>
        <w:rPr/>
      </w:pPr>
      <w:r>
        <w:rPr>
          <w:sz w:val="28"/>
          <w:szCs w:val="28"/>
        </w:rPr>
        <w:t>mit Lehrsprache bewusst umgehen</w:t>
      </w:r>
    </w:p>
    <w:p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Zusammenfassungen geben</w:t>
      </w:r>
    </w:p>
    <w:p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Einbindung in die Klassengemeinschaft</w:t>
      </w:r>
    </w:p>
    <w:p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Zusammenarbeit mit Lehrer vom Sozialen Dienst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u w:val="single"/>
        </w:rPr>
        <w:t>Diskussionsschwerpunkte: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Zusammenfassung des Workshops in einem Satz (gern auch als Metapher):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>z. B. Der Förderschwerpunkt Hören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4123d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4123d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link w:val="Kopf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4123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865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E996-8DC2-494F-915A-EB30229A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LibreOffice/5.1.5.2$Windows_X86_64 LibreOffice_project/7a864d8825610a8c07cfc3bc01dd4fce6a9447e5</Application>
  <Pages>1</Pages>
  <Words>174</Words>
  <Characters>1215</Characters>
  <CharactersWithSpaces>1482</CharactersWithSpaces>
  <Paragraphs>32</Paragraphs>
  <Company>HSZG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2016-09-06T10:29:00Z</dcterms:created>
  <dc:creator>pkoinzer</dc:creator>
  <dc:description/>
  <dc:language>de-DE</dc:language>
  <cp:lastModifiedBy/>
  <cp:lastPrinted>2015-11-12T11:06:00Z</cp:lastPrinted>
  <dcterms:modified xsi:type="dcterms:W3CDTF">2016-10-21T17:34:04Z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HSZG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